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800"/>
        <w:gridCol w:w="8262"/>
      </w:tblGrid>
      <w:tr w:rsidR="007E5C20" w14:paraId="2C70CCAF" w14:textId="77777777" w:rsidTr="0022132C">
        <w:tc>
          <w:tcPr>
            <w:tcW w:w="378" w:type="dxa"/>
          </w:tcPr>
          <w:p w14:paraId="080F7327" w14:textId="77777777" w:rsidR="007E5C20" w:rsidRDefault="007E5C20" w:rsidP="0022132C">
            <w:pPr>
              <w:pStyle w:val="Header"/>
              <w:ind w:right="-122"/>
            </w:pPr>
          </w:p>
        </w:tc>
        <w:tc>
          <w:tcPr>
            <w:tcW w:w="1800" w:type="dxa"/>
          </w:tcPr>
          <w:p w14:paraId="53C14D9F" w14:textId="77777777" w:rsidR="007E5C20" w:rsidRDefault="007E5C20" w:rsidP="0022132C">
            <w:pPr>
              <w:pStyle w:val="Header"/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9C54596" wp14:editId="500B6DDF">
                  <wp:extent cx="904240" cy="1016000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91" t="16443" r="22502" b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vAlign w:val="center"/>
          </w:tcPr>
          <w:p w14:paraId="39CBBE47" w14:textId="77777777" w:rsidR="007E5C20" w:rsidRPr="00454E79" w:rsidRDefault="007E5C20" w:rsidP="0022132C">
            <w:pPr>
              <w:pStyle w:val="Header"/>
              <w:rPr>
                <w:rFonts w:ascii="Times New Roman" w:hAnsi="Times New Roman"/>
                <w:b/>
                <w:smallCaps/>
                <w:sz w:val="40"/>
              </w:rPr>
            </w:pPr>
            <w:proofErr w:type="spellStart"/>
            <w:r w:rsidRPr="00454E79">
              <w:rPr>
                <w:rFonts w:ascii="Times New Roman" w:hAnsi="Times New Roman"/>
                <w:b/>
                <w:smallCaps/>
                <w:sz w:val="40"/>
              </w:rPr>
              <w:t>Dr.</w:t>
            </w:r>
            <w:proofErr w:type="spellEnd"/>
            <w:r w:rsidRPr="00454E79">
              <w:rPr>
                <w:rFonts w:ascii="Times New Roman" w:hAnsi="Times New Roman"/>
                <w:b/>
                <w:smallCaps/>
                <w:sz w:val="40"/>
              </w:rPr>
              <w:t xml:space="preserve"> Kearney Middle School</w:t>
            </w:r>
          </w:p>
          <w:p w14:paraId="584F8AC0" w14:textId="77777777" w:rsidR="007E5C20" w:rsidRPr="00454E79" w:rsidRDefault="007E5C20" w:rsidP="0022132C">
            <w:pPr>
              <w:pStyle w:val="Header"/>
              <w:rPr>
                <w:rFonts w:ascii="Times New Roman" w:hAnsi="Times New Roman"/>
                <w:sz w:val="24"/>
              </w:rPr>
            </w:pPr>
            <w:r w:rsidRPr="00454E79">
              <w:rPr>
                <w:rFonts w:ascii="Times New Roman" w:hAnsi="Times New Roman"/>
                <w:sz w:val="24"/>
              </w:rPr>
              <w:t>10723 – 92 Street, Fort St. John, B.C.  V1J 3J4</w:t>
            </w:r>
          </w:p>
          <w:p w14:paraId="7E8AC33C" w14:textId="77777777" w:rsidR="007E5C20" w:rsidRDefault="007E5C20" w:rsidP="0022132C">
            <w:pPr>
              <w:pStyle w:val="Header"/>
            </w:pPr>
            <w:r w:rsidRPr="00454E79">
              <w:rPr>
                <w:rFonts w:ascii="Times New Roman" w:hAnsi="Times New Roman"/>
                <w:sz w:val="24"/>
              </w:rPr>
              <w:t>Phone: 250-785-</w:t>
            </w:r>
            <w:proofErr w:type="gramStart"/>
            <w:r w:rsidRPr="00454E79">
              <w:rPr>
                <w:rFonts w:ascii="Times New Roman" w:hAnsi="Times New Roman"/>
                <w:sz w:val="24"/>
              </w:rPr>
              <w:t xml:space="preserve">8378   </w:t>
            </w:r>
            <w:proofErr w:type="gramEnd"/>
            <w:r w:rsidRPr="00454E79">
              <w:rPr>
                <w:rFonts w:ascii="Times New Roman" w:hAnsi="Times New Roman"/>
                <w:sz w:val="24"/>
              </w:rPr>
              <w:sym w:font="Wingdings" w:char="F073"/>
            </w:r>
            <w:r w:rsidRPr="00454E79">
              <w:rPr>
                <w:rFonts w:ascii="Times New Roman" w:hAnsi="Times New Roman"/>
                <w:sz w:val="24"/>
              </w:rPr>
              <w:t xml:space="preserve">   Fax:  250-785-1678</w:t>
            </w:r>
          </w:p>
        </w:tc>
      </w:tr>
    </w:tbl>
    <w:p w14:paraId="7E692106" w14:textId="77777777" w:rsidR="0022132C" w:rsidRPr="0022132C" w:rsidRDefault="0022132C">
      <w:pPr>
        <w:rPr>
          <w:rFonts w:ascii="Times New Roman" w:hAnsi="Times New Roman"/>
          <w:sz w:val="24"/>
        </w:rPr>
      </w:pPr>
    </w:p>
    <w:p w14:paraId="2224E003" w14:textId="2AC508AD" w:rsidR="0022132C" w:rsidRPr="000E0D52" w:rsidRDefault="006736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October 17</w:t>
      </w:r>
      <w:r w:rsidR="0022132C" w:rsidRPr="000E0D52">
        <w:rPr>
          <w:rFonts w:ascii="Times New Roman" w:hAnsi="Times New Roman"/>
          <w:sz w:val="26"/>
          <w:szCs w:val="26"/>
        </w:rPr>
        <w:t>, 2016</w:t>
      </w:r>
    </w:p>
    <w:p w14:paraId="7BB29E3D" w14:textId="77777777" w:rsidR="0022132C" w:rsidRPr="000E0D52" w:rsidRDefault="0022132C">
      <w:pPr>
        <w:rPr>
          <w:rFonts w:ascii="Times New Roman" w:hAnsi="Times New Roman"/>
          <w:sz w:val="26"/>
          <w:szCs w:val="26"/>
        </w:rPr>
      </w:pPr>
    </w:p>
    <w:p w14:paraId="0E6D917C" w14:textId="77777777" w:rsidR="0022132C" w:rsidRPr="000E0D52" w:rsidRDefault="0022132C">
      <w:pPr>
        <w:rPr>
          <w:rFonts w:ascii="Times New Roman" w:hAnsi="Times New Roman"/>
          <w:sz w:val="26"/>
          <w:szCs w:val="26"/>
        </w:rPr>
      </w:pPr>
    </w:p>
    <w:p w14:paraId="1C72F753" w14:textId="77777777" w:rsidR="0022132C" w:rsidRPr="000E0D52" w:rsidRDefault="0022132C" w:rsidP="00D57162">
      <w:pPr>
        <w:jc w:val="both"/>
        <w:rPr>
          <w:rFonts w:ascii="Times New Roman" w:hAnsi="Times New Roman"/>
          <w:sz w:val="26"/>
          <w:szCs w:val="26"/>
        </w:rPr>
      </w:pPr>
      <w:r w:rsidRPr="000E0D52">
        <w:rPr>
          <w:rFonts w:ascii="Times New Roman" w:hAnsi="Times New Roman"/>
          <w:sz w:val="26"/>
          <w:szCs w:val="26"/>
        </w:rPr>
        <w:t>Dear Parents/Guardians:</w:t>
      </w:r>
    </w:p>
    <w:p w14:paraId="0186E440" w14:textId="77777777" w:rsidR="0022132C" w:rsidRPr="00411A0E" w:rsidRDefault="0022132C" w:rsidP="00D57162">
      <w:pPr>
        <w:jc w:val="both"/>
        <w:rPr>
          <w:rFonts w:ascii="Times New Roman" w:hAnsi="Times New Roman"/>
          <w:sz w:val="16"/>
          <w:szCs w:val="16"/>
        </w:rPr>
      </w:pPr>
    </w:p>
    <w:p w14:paraId="2EEF2E76" w14:textId="5790C5AE" w:rsidR="0022132C" w:rsidRDefault="0022132C" w:rsidP="00D57162">
      <w:pPr>
        <w:jc w:val="both"/>
        <w:rPr>
          <w:rFonts w:ascii="Times New Roman" w:hAnsi="Times New Roman"/>
          <w:sz w:val="26"/>
          <w:szCs w:val="26"/>
        </w:rPr>
      </w:pPr>
      <w:r w:rsidRPr="000E0D52">
        <w:rPr>
          <w:rFonts w:ascii="Times New Roman" w:hAnsi="Times New Roman"/>
          <w:sz w:val="26"/>
          <w:szCs w:val="26"/>
        </w:rPr>
        <w:t xml:space="preserve">By now you have likely heard about changes to the curriculum in BC schools. </w:t>
      </w:r>
      <w:r w:rsidR="002942FA" w:rsidRPr="000E0D52">
        <w:rPr>
          <w:rFonts w:ascii="Times New Roman" w:hAnsi="Times New Roman"/>
          <w:sz w:val="26"/>
          <w:szCs w:val="26"/>
        </w:rPr>
        <w:t xml:space="preserve">The redesigned curriculum for Grades K-9 is being implemented during this school year. </w:t>
      </w:r>
      <w:r w:rsidR="00673686">
        <w:rPr>
          <w:rFonts w:ascii="Times New Roman" w:hAnsi="Times New Roman"/>
          <w:sz w:val="26"/>
          <w:szCs w:val="26"/>
        </w:rPr>
        <w:t>A few</w:t>
      </w:r>
      <w:r w:rsidRPr="000E0D52">
        <w:rPr>
          <w:rFonts w:ascii="Times New Roman" w:hAnsi="Times New Roman"/>
          <w:sz w:val="26"/>
          <w:szCs w:val="26"/>
        </w:rPr>
        <w:t xml:space="preserve"> week</w:t>
      </w:r>
      <w:r w:rsidR="00673686">
        <w:rPr>
          <w:rFonts w:ascii="Times New Roman" w:hAnsi="Times New Roman"/>
          <w:sz w:val="26"/>
          <w:szCs w:val="26"/>
        </w:rPr>
        <w:t>s ago</w:t>
      </w:r>
      <w:r w:rsidRPr="000E0D52">
        <w:rPr>
          <w:rFonts w:ascii="Times New Roman" w:hAnsi="Times New Roman"/>
          <w:sz w:val="26"/>
          <w:szCs w:val="26"/>
        </w:rPr>
        <w:t>, a letter from Mike Bernier, the Minister of Education, was posted on our website. In this letter he discussed developing a new approach for reporting to parents.</w:t>
      </w:r>
      <w:r w:rsidR="000E0D52">
        <w:rPr>
          <w:rFonts w:ascii="Times New Roman" w:hAnsi="Times New Roman"/>
          <w:sz w:val="26"/>
          <w:szCs w:val="26"/>
        </w:rPr>
        <w:t xml:space="preserve"> </w:t>
      </w:r>
    </w:p>
    <w:p w14:paraId="28D63C16" w14:textId="77777777" w:rsidR="00384AEA" w:rsidRPr="00411A0E" w:rsidRDefault="00384AEA" w:rsidP="00D57162">
      <w:pPr>
        <w:jc w:val="both"/>
        <w:rPr>
          <w:rFonts w:ascii="Times New Roman" w:hAnsi="Times New Roman"/>
          <w:sz w:val="16"/>
          <w:szCs w:val="16"/>
        </w:rPr>
      </w:pPr>
    </w:p>
    <w:p w14:paraId="3DCBE774" w14:textId="33F186C0" w:rsidR="00384AEA" w:rsidRDefault="00384AEA" w:rsidP="00D571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an effort to communicate better with parents </w:t>
      </w:r>
      <w:r w:rsidR="00D57162">
        <w:rPr>
          <w:rFonts w:ascii="Times New Roman" w:hAnsi="Times New Roman"/>
          <w:sz w:val="26"/>
          <w:szCs w:val="26"/>
        </w:rPr>
        <w:t>and guardians regarding what</w:t>
      </w:r>
      <w:r>
        <w:rPr>
          <w:rFonts w:ascii="Times New Roman" w:hAnsi="Times New Roman"/>
          <w:sz w:val="26"/>
          <w:szCs w:val="26"/>
        </w:rPr>
        <w:t xml:space="preserve"> students can and cannot do, we are piloting </w:t>
      </w:r>
      <w:proofErr w:type="spellStart"/>
      <w:r>
        <w:rPr>
          <w:rFonts w:ascii="Times New Roman" w:hAnsi="Times New Roman"/>
          <w:sz w:val="26"/>
          <w:szCs w:val="26"/>
        </w:rPr>
        <w:t>gradeless</w:t>
      </w:r>
      <w:proofErr w:type="spellEnd"/>
      <w:r>
        <w:rPr>
          <w:rFonts w:ascii="Times New Roman" w:hAnsi="Times New Roman"/>
          <w:sz w:val="26"/>
          <w:szCs w:val="26"/>
        </w:rPr>
        <w:t xml:space="preserve"> reporting in </w:t>
      </w:r>
      <w:r w:rsidR="00A3510B">
        <w:rPr>
          <w:rFonts w:ascii="Times New Roman" w:hAnsi="Times New Roman"/>
          <w:sz w:val="26"/>
          <w:szCs w:val="26"/>
        </w:rPr>
        <w:t>most elective courses</w:t>
      </w:r>
      <w:r>
        <w:rPr>
          <w:rFonts w:ascii="Times New Roman" w:hAnsi="Times New Roman"/>
          <w:sz w:val="26"/>
          <w:szCs w:val="26"/>
        </w:rPr>
        <w:t>. Instead of one, traditional</w:t>
      </w:r>
      <w:r w:rsidR="007437C3">
        <w:rPr>
          <w:rFonts w:ascii="Times New Roman" w:hAnsi="Times New Roman"/>
          <w:sz w:val="26"/>
          <w:szCs w:val="26"/>
        </w:rPr>
        <w:t>, averaged,</w:t>
      </w:r>
      <w:r>
        <w:rPr>
          <w:rFonts w:ascii="Times New Roman" w:hAnsi="Times New Roman"/>
          <w:sz w:val="26"/>
          <w:szCs w:val="26"/>
        </w:rPr>
        <w:t xml:space="preserve"> overall letter grade</w:t>
      </w:r>
      <w:r w:rsidR="007437C3">
        <w:rPr>
          <w:rFonts w:ascii="Times New Roman" w:hAnsi="Times New Roman"/>
          <w:sz w:val="26"/>
          <w:szCs w:val="26"/>
        </w:rPr>
        <w:t xml:space="preserve"> that has</w:t>
      </w:r>
      <w:r w:rsidR="00D57162">
        <w:rPr>
          <w:rFonts w:ascii="Times New Roman" w:hAnsi="Times New Roman"/>
          <w:sz w:val="26"/>
          <w:szCs w:val="26"/>
        </w:rPr>
        <w:t xml:space="preserve"> been</w:t>
      </w:r>
      <w:r>
        <w:rPr>
          <w:rFonts w:ascii="Times New Roman" w:hAnsi="Times New Roman"/>
          <w:sz w:val="26"/>
          <w:szCs w:val="26"/>
        </w:rPr>
        <w:t xml:space="preserve"> issued for the whole course, teachers will assess and report on the student’s progress in the main curric</w:t>
      </w:r>
      <w:r w:rsidR="007437C3">
        <w:rPr>
          <w:rFonts w:ascii="Times New Roman" w:hAnsi="Times New Roman"/>
          <w:sz w:val="26"/>
          <w:szCs w:val="26"/>
        </w:rPr>
        <w:t>ular competencies and content. We believe that t</w:t>
      </w:r>
      <w:r>
        <w:rPr>
          <w:rFonts w:ascii="Times New Roman" w:hAnsi="Times New Roman"/>
          <w:sz w:val="26"/>
          <w:szCs w:val="26"/>
        </w:rPr>
        <w:t>his will give the parents and guardians a greater understanding of their child’s progress in a variety of areas within a course.</w:t>
      </w:r>
    </w:p>
    <w:p w14:paraId="527B2BF6" w14:textId="77777777" w:rsidR="00384AEA" w:rsidRPr="00411A0E" w:rsidRDefault="00384AEA" w:rsidP="00D57162">
      <w:pPr>
        <w:jc w:val="both"/>
        <w:rPr>
          <w:rFonts w:ascii="Times New Roman" w:hAnsi="Times New Roman"/>
          <w:sz w:val="16"/>
          <w:szCs w:val="16"/>
        </w:rPr>
      </w:pPr>
    </w:p>
    <w:p w14:paraId="5A526437" w14:textId="77777777" w:rsidR="00384AEA" w:rsidRDefault="00384AEA" w:rsidP="00D571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Curricular competencies and content will be reported on using the following scale: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603"/>
        <w:gridCol w:w="7037"/>
      </w:tblGrid>
      <w:tr w:rsidR="00ED5AFD" w14:paraId="678A427B" w14:textId="77777777" w:rsidTr="00ED5AF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2330BA0" w14:textId="5064AA52" w:rsidR="00ED5AFD" w:rsidRDefault="00384AEA" w:rsidP="00D5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603" w:type="dxa"/>
          </w:tcPr>
          <w:p w14:paraId="3B51D7FC" w14:textId="275AF684" w:rsidR="00ED5AFD" w:rsidRPr="00ED5AFD" w:rsidRDefault="00ED5AFD" w:rsidP="00D57162">
            <w:pPr>
              <w:jc w:val="both"/>
              <w:rPr>
                <w:rFonts w:ascii="Times New Roman" w:hAnsi="Times New Roman"/>
                <w:sz w:val="24"/>
              </w:rPr>
            </w:pPr>
            <w:r w:rsidRPr="00ED5AFD">
              <w:rPr>
                <w:rFonts w:ascii="Times New Roman" w:hAnsi="Times New Roman"/>
                <w:sz w:val="24"/>
              </w:rPr>
              <w:t>Beginning</w:t>
            </w:r>
          </w:p>
        </w:tc>
        <w:tc>
          <w:tcPr>
            <w:tcW w:w="7439" w:type="dxa"/>
          </w:tcPr>
          <w:p w14:paraId="4DD7B6BD" w14:textId="0AD82124" w:rsidR="00ED5AFD" w:rsidRPr="00ED5AFD" w:rsidRDefault="00F277EF" w:rsidP="00D571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ED5AFD" w:rsidRPr="00ED5AFD">
              <w:rPr>
                <w:rFonts w:ascii="Times New Roman" w:hAnsi="Times New Roman"/>
                <w:sz w:val="24"/>
              </w:rPr>
              <w:t>tudent demonstrates some recall of facts but is significantly lacking in understanding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D5AFD" w14:paraId="16FA9CB8" w14:textId="77777777" w:rsidTr="00ED5AF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E255003" w14:textId="77777777" w:rsidR="00ED5AFD" w:rsidRDefault="00ED5AFD" w:rsidP="00D5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387B4913" w14:textId="11BE3ADA" w:rsidR="00ED5AFD" w:rsidRPr="00ED5AFD" w:rsidRDefault="00ED5AFD" w:rsidP="00D57162">
            <w:pPr>
              <w:jc w:val="both"/>
              <w:rPr>
                <w:rFonts w:ascii="Times New Roman" w:hAnsi="Times New Roman"/>
                <w:sz w:val="24"/>
              </w:rPr>
            </w:pPr>
            <w:r w:rsidRPr="00ED5AFD">
              <w:rPr>
                <w:rFonts w:ascii="Times New Roman" w:hAnsi="Times New Roman"/>
                <w:sz w:val="24"/>
              </w:rPr>
              <w:t>Developing</w:t>
            </w:r>
          </w:p>
        </w:tc>
        <w:tc>
          <w:tcPr>
            <w:tcW w:w="7439" w:type="dxa"/>
          </w:tcPr>
          <w:p w14:paraId="6CAF2A67" w14:textId="0F61B89A" w:rsidR="00ED5AFD" w:rsidRPr="00ED5AFD" w:rsidRDefault="00F277EF" w:rsidP="00F254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F25431">
              <w:rPr>
                <w:rFonts w:ascii="Times New Roman" w:hAnsi="Times New Roman"/>
                <w:sz w:val="24"/>
              </w:rPr>
              <w:t xml:space="preserve">tudent 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demonstrates </w:t>
            </w:r>
            <w:r w:rsidR="00F25431">
              <w:rPr>
                <w:rFonts w:ascii="Times New Roman" w:hAnsi="Times New Roman"/>
                <w:sz w:val="24"/>
              </w:rPr>
              <w:t xml:space="preserve">an </w:t>
            </w:r>
            <w:r w:rsidR="00ED5AFD" w:rsidRPr="00ED5AFD">
              <w:rPr>
                <w:rFonts w:ascii="Times New Roman" w:hAnsi="Times New Roman"/>
                <w:sz w:val="24"/>
              </w:rPr>
              <w:t>understanding of portions bu</w:t>
            </w:r>
            <w:r w:rsidR="00F25431">
              <w:rPr>
                <w:rFonts w:ascii="Times New Roman" w:hAnsi="Times New Roman"/>
                <w:sz w:val="24"/>
              </w:rPr>
              <w:t>t is</w:t>
            </w:r>
            <w:r>
              <w:rPr>
                <w:rFonts w:ascii="Times New Roman" w:hAnsi="Times New Roman"/>
                <w:sz w:val="24"/>
              </w:rPr>
              <w:t xml:space="preserve"> missing the big picture. Student 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may be unable to apply what </w:t>
            </w:r>
            <w:r w:rsidR="00F25431">
              <w:rPr>
                <w:rFonts w:ascii="Times New Roman" w:hAnsi="Times New Roman"/>
                <w:sz w:val="24"/>
              </w:rPr>
              <w:t>has been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 learned to new situations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D5AFD" w14:paraId="3C7D5DFE" w14:textId="77777777" w:rsidTr="00ED5AF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9CB8E49" w14:textId="77777777" w:rsidR="00ED5AFD" w:rsidRDefault="00ED5AFD" w:rsidP="00D5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111E7857" w14:textId="529BD10C" w:rsidR="00ED5AFD" w:rsidRPr="00ED5AFD" w:rsidRDefault="00ED5AFD" w:rsidP="00D57162">
            <w:pPr>
              <w:jc w:val="both"/>
              <w:rPr>
                <w:rFonts w:ascii="Times New Roman" w:hAnsi="Times New Roman"/>
                <w:sz w:val="24"/>
              </w:rPr>
            </w:pPr>
            <w:r w:rsidRPr="00ED5AFD">
              <w:rPr>
                <w:rFonts w:ascii="Times New Roman" w:hAnsi="Times New Roman"/>
                <w:sz w:val="24"/>
              </w:rPr>
              <w:t>Accomplished</w:t>
            </w:r>
          </w:p>
        </w:tc>
        <w:tc>
          <w:tcPr>
            <w:tcW w:w="7439" w:type="dxa"/>
          </w:tcPr>
          <w:p w14:paraId="58FB51C8" w14:textId="1AC20EC3" w:rsidR="00ED5AFD" w:rsidRPr="00ED5AFD" w:rsidRDefault="00F277EF" w:rsidP="00D571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ED5AFD" w:rsidRPr="00ED5AFD">
              <w:rPr>
                <w:rFonts w:ascii="Times New Roman" w:hAnsi="Times New Roman"/>
                <w:sz w:val="24"/>
              </w:rPr>
              <w:t>tudent demonstrates a big picture understanding and can apply it to new and</w:t>
            </w:r>
            <w:r w:rsidR="00F25431">
              <w:rPr>
                <w:rFonts w:ascii="Times New Roman" w:hAnsi="Times New Roman"/>
                <w:sz w:val="24"/>
              </w:rPr>
              <w:t xml:space="preserve"> different situations but </w:t>
            </w:r>
            <w:r w:rsidR="00ED5AFD" w:rsidRPr="00ED5AFD">
              <w:rPr>
                <w:rFonts w:ascii="Times New Roman" w:hAnsi="Times New Roman"/>
                <w:sz w:val="24"/>
              </w:rPr>
              <w:t>lack</w:t>
            </w:r>
            <w:r w:rsidR="00F25431">
              <w:rPr>
                <w:rFonts w:ascii="Times New Roman" w:hAnsi="Times New Roman"/>
                <w:sz w:val="24"/>
              </w:rPr>
              <w:t>s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 subtle details or explanations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D5AFD" w14:paraId="6686CFBA" w14:textId="77777777" w:rsidTr="00ED5AF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837A5A4" w14:textId="77777777" w:rsidR="00ED5AFD" w:rsidRDefault="00ED5AFD" w:rsidP="00D5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59DA405F" w14:textId="3EAF96CC" w:rsidR="00ED5AFD" w:rsidRPr="00ED5AFD" w:rsidRDefault="00ED5AFD" w:rsidP="00D57162">
            <w:pPr>
              <w:jc w:val="both"/>
              <w:rPr>
                <w:rFonts w:ascii="Times New Roman" w:hAnsi="Times New Roman"/>
                <w:sz w:val="24"/>
              </w:rPr>
            </w:pPr>
            <w:r w:rsidRPr="00ED5AFD">
              <w:rPr>
                <w:rFonts w:ascii="Times New Roman" w:hAnsi="Times New Roman"/>
                <w:sz w:val="24"/>
              </w:rPr>
              <w:t>Exemplary</w:t>
            </w:r>
          </w:p>
        </w:tc>
        <w:tc>
          <w:tcPr>
            <w:tcW w:w="7439" w:type="dxa"/>
          </w:tcPr>
          <w:p w14:paraId="24E45468" w14:textId="6C63CEC0" w:rsidR="00ED5AFD" w:rsidRPr="00ED5AFD" w:rsidRDefault="00F277EF" w:rsidP="00F254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ED5AFD" w:rsidRPr="00ED5AFD">
              <w:rPr>
                <w:rFonts w:ascii="Times New Roman" w:hAnsi="Times New Roman"/>
                <w:sz w:val="24"/>
              </w:rPr>
              <w:t>tudent demonstrates superior understanding</w:t>
            </w:r>
            <w:r w:rsidR="00F25431">
              <w:rPr>
                <w:rFonts w:ascii="Times New Roman" w:hAnsi="Times New Roman"/>
                <w:sz w:val="24"/>
              </w:rPr>
              <w:t xml:space="preserve">, includes </w:t>
            </w:r>
            <w:r w:rsidR="00ED5AFD" w:rsidRPr="00ED5AFD">
              <w:rPr>
                <w:rFonts w:ascii="Times New Roman" w:hAnsi="Times New Roman"/>
                <w:sz w:val="24"/>
              </w:rPr>
              <w:t>subtle</w:t>
            </w:r>
            <w:r w:rsidR="00F25431">
              <w:rPr>
                <w:rFonts w:ascii="Times New Roman" w:hAnsi="Times New Roman"/>
                <w:sz w:val="24"/>
              </w:rPr>
              <w:t xml:space="preserve"> 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details, </w:t>
            </w:r>
            <w:r w:rsidR="00F25431">
              <w:rPr>
                <w:rFonts w:ascii="Times New Roman" w:hAnsi="Times New Roman"/>
                <w:sz w:val="24"/>
              </w:rPr>
              <w:t xml:space="preserve">shows 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relationships between concepts, and </w:t>
            </w:r>
            <w:r w:rsidR="00F25431">
              <w:rPr>
                <w:rFonts w:ascii="Times New Roman" w:hAnsi="Times New Roman"/>
                <w:sz w:val="24"/>
              </w:rPr>
              <w:t>applies</w:t>
            </w:r>
            <w:r w:rsidR="00ED5AFD" w:rsidRPr="00ED5AFD">
              <w:rPr>
                <w:rFonts w:ascii="Times New Roman" w:hAnsi="Times New Roman"/>
                <w:sz w:val="24"/>
              </w:rPr>
              <w:t xml:space="preserve"> understanding to more complex situations</w:t>
            </w:r>
            <w:r w:rsidR="007F5B9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62A06F72" w14:textId="77777777" w:rsidR="00384AEA" w:rsidRPr="00411A0E" w:rsidRDefault="00384AEA" w:rsidP="00D57162">
      <w:pPr>
        <w:jc w:val="both"/>
        <w:rPr>
          <w:rFonts w:ascii="Times New Roman" w:hAnsi="Times New Roman"/>
          <w:sz w:val="16"/>
          <w:szCs w:val="16"/>
        </w:rPr>
      </w:pPr>
    </w:p>
    <w:p w14:paraId="3FE04A32" w14:textId="67FC8637" w:rsidR="00384AEA" w:rsidRDefault="00384AEA" w:rsidP="00D571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At this point we are exploring various electronic and paper options for </w:t>
      </w:r>
      <w:r w:rsidR="00A3510B">
        <w:rPr>
          <w:rFonts w:ascii="Times New Roman" w:hAnsi="Times New Roman"/>
          <w:sz w:val="26"/>
          <w:szCs w:val="26"/>
        </w:rPr>
        <w:t>informal progress reports and for formal report cards.</w:t>
      </w:r>
    </w:p>
    <w:p w14:paraId="4E7D845D" w14:textId="77777777" w:rsidR="00384AEA" w:rsidRPr="00411A0E" w:rsidRDefault="00384AEA" w:rsidP="00D57162">
      <w:pPr>
        <w:jc w:val="both"/>
        <w:rPr>
          <w:rFonts w:ascii="Times New Roman" w:hAnsi="Times New Roman"/>
          <w:sz w:val="16"/>
          <w:szCs w:val="16"/>
        </w:rPr>
      </w:pPr>
    </w:p>
    <w:p w14:paraId="404BB9E1" w14:textId="090F1236" w:rsidR="00384AEA" w:rsidRDefault="00384AEA" w:rsidP="00D571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</w:t>
      </w:r>
      <w:r w:rsidR="00D57162">
        <w:rPr>
          <w:rFonts w:ascii="Times New Roman" w:hAnsi="Times New Roman"/>
          <w:sz w:val="26"/>
          <w:szCs w:val="26"/>
        </w:rPr>
        <w:t xml:space="preserve">would like to invite you to </w:t>
      </w:r>
      <w:r w:rsidR="00411A0E">
        <w:rPr>
          <w:rFonts w:ascii="Times New Roman" w:hAnsi="Times New Roman"/>
          <w:sz w:val="26"/>
          <w:szCs w:val="26"/>
        </w:rPr>
        <w:t>our first</w:t>
      </w:r>
      <w:r w:rsidR="00D57162">
        <w:rPr>
          <w:rFonts w:ascii="Times New Roman" w:hAnsi="Times New Roman"/>
          <w:sz w:val="26"/>
          <w:szCs w:val="26"/>
        </w:rPr>
        <w:t xml:space="preserve"> information session, which will take place </w:t>
      </w:r>
      <w:r w:rsidR="007C5DBB">
        <w:rPr>
          <w:rFonts w:ascii="Times New Roman" w:hAnsi="Times New Roman"/>
          <w:sz w:val="26"/>
          <w:szCs w:val="26"/>
        </w:rPr>
        <w:t xml:space="preserve">at the school </w:t>
      </w:r>
      <w:bookmarkStart w:id="0" w:name="_GoBack"/>
      <w:bookmarkEnd w:id="0"/>
      <w:r w:rsidR="00D57162">
        <w:rPr>
          <w:rFonts w:ascii="Times New Roman" w:hAnsi="Times New Roman"/>
          <w:sz w:val="26"/>
          <w:szCs w:val="26"/>
        </w:rPr>
        <w:t xml:space="preserve">on </w:t>
      </w:r>
      <w:r w:rsidR="00673686">
        <w:rPr>
          <w:rFonts w:ascii="Times New Roman" w:hAnsi="Times New Roman"/>
          <w:sz w:val="26"/>
          <w:szCs w:val="26"/>
        </w:rPr>
        <w:t>Tuesday, October 25</w:t>
      </w:r>
      <w:r w:rsidR="00673686" w:rsidRPr="00673686">
        <w:rPr>
          <w:rFonts w:ascii="Times New Roman" w:hAnsi="Times New Roman"/>
          <w:sz w:val="26"/>
          <w:szCs w:val="26"/>
          <w:vertAlign w:val="superscript"/>
        </w:rPr>
        <w:t>th</w:t>
      </w:r>
      <w:r w:rsidR="00D57162">
        <w:rPr>
          <w:rFonts w:ascii="Times New Roman" w:hAnsi="Times New Roman"/>
          <w:sz w:val="26"/>
          <w:szCs w:val="26"/>
        </w:rPr>
        <w:t xml:space="preserve">, 2016 at 6:30 pm in </w:t>
      </w:r>
      <w:r w:rsidR="007C5DBB">
        <w:rPr>
          <w:rFonts w:ascii="Times New Roman" w:hAnsi="Times New Roman"/>
          <w:sz w:val="26"/>
          <w:szCs w:val="26"/>
        </w:rPr>
        <w:t>Room 109</w:t>
      </w:r>
      <w:r w:rsidR="00D57162">
        <w:rPr>
          <w:rFonts w:ascii="Times New Roman" w:hAnsi="Times New Roman"/>
          <w:sz w:val="26"/>
          <w:szCs w:val="26"/>
        </w:rPr>
        <w:t>.</w:t>
      </w:r>
      <w:r w:rsidR="00411A0E">
        <w:rPr>
          <w:rFonts w:ascii="Times New Roman" w:hAnsi="Times New Roman"/>
          <w:sz w:val="26"/>
          <w:szCs w:val="26"/>
        </w:rPr>
        <w:t xml:space="preserve"> We are looking for feedback from as many parents as possible. If you ar</w:t>
      </w:r>
      <w:r w:rsidR="00A01BBB">
        <w:rPr>
          <w:rFonts w:ascii="Times New Roman" w:hAnsi="Times New Roman"/>
          <w:sz w:val="26"/>
          <w:szCs w:val="26"/>
        </w:rPr>
        <w:t>e unable to attend this</w:t>
      </w:r>
      <w:r w:rsidR="00411A0E">
        <w:rPr>
          <w:rFonts w:ascii="Times New Roman" w:hAnsi="Times New Roman"/>
          <w:sz w:val="26"/>
          <w:szCs w:val="26"/>
        </w:rPr>
        <w:t xml:space="preserve"> meeting, please send your comments by email to one of the school administrators. We will host another meeting in November.</w:t>
      </w:r>
    </w:p>
    <w:p w14:paraId="0BFCC7DA" w14:textId="77777777" w:rsidR="00D57162" w:rsidRDefault="00D57162" w:rsidP="00D57162">
      <w:pPr>
        <w:jc w:val="both"/>
        <w:rPr>
          <w:rFonts w:ascii="Times New Roman" w:hAnsi="Times New Roman"/>
          <w:sz w:val="26"/>
          <w:szCs w:val="26"/>
        </w:rPr>
      </w:pPr>
    </w:p>
    <w:p w14:paraId="7B8BB1FC" w14:textId="369CAADC" w:rsidR="00D57162" w:rsidRDefault="00D57162" w:rsidP="00D571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Sincerely,</w:t>
      </w:r>
    </w:p>
    <w:p w14:paraId="39380ECD" w14:textId="77777777" w:rsidR="00D57162" w:rsidRDefault="00D57162" w:rsidP="00D57162">
      <w:pPr>
        <w:jc w:val="both"/>
        <w:rPr>
          <w:rFonts w:ascii="Times New Roman" w:hAnsi="Times New Roman"/>
          <w:sz w:val="26"/>
          <w:szCs w:val="26"/>
        </w:rPr>
      </w:pPr>
    </w:p>
    <w:p w14:paraId="33539257" w14:textId="5231F29F" w:rsidR="00D57162" w:rsidRDefault="00D57162" w:rsidP="00D571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Wes McKnight, Principal</w:t>
      </w:r>
      <w:r w:rsidR="00A01BBB">
        <w:rPr>
          <w:rFonts w:ascii="Times New Roman" w:hAnsi="Times New Roman"/>
          <w:sz w:val="26"/>
          <w:szCs w:val="26"/>
        </w:rPr>
        <w:t xml:space="preserve"> – wmcknight@prn.bc.ca</w:t>
      </w:r>
    </w:p>
    <w:p w14:paraId="4CEAE0F7" w14:textId="6586C33F" w:rsidR="00384AEA" w:rsidRPr="000E0D52" w:rsidRDefault="00D57162" w:rsidP="00A3510B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Jerelyn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Orcutt</w:t>
      </w:r>
      <w:proofErr w:type="spellEnd"/>
      <w:r>
        <w:rPr>
          <w:rFonts w:ascii="Times New Roman" w:hAnsi="Times New Roman"/>
          <w:sz w:val="26"/>
          <w:szCs w:val="26"/>
        </w:rPr>
        <w:t>, Vice Principal</w:t>
      </w:r>
      <w:r w:rsidR="00384AEA">
        <w:rPr>
          <w:rFonts w:ascii="Times New Roman" w:hAnsi="Times New Roman"/>
          <w:sz w:val="26"/>
          <w:szCs w:val="26"/>
        </w:rPr>
        <w:t xml:space="preserve"> </w:t>
      </w:r>
      <w:r w:rsidR="00A01BBB">
        <w:rPr>
          <w:rFonts w:ascii="Times New Roman" w:hAnsi="Times New Roman"/>
          <w:sz w:val="26"/>
          <w:szCs w:val="26"/>
        </w:rPr>
        <w:t>– jorcutt@prn.bc.ca</w:t>
      </w:r>
    </w:p>
    <w:sectPr w:rsidR="00384AEA" w:rsidRPr="000E0D52" w:rsidSect="008F1503">
      <w:pgSz w:w="12240" w:h="15840"/>
      <w:pgMar w:top="864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0"/>
    <w:rsid w:val="000E0D52"/>
    <w:rsid w:val="000F05AF"/>
    <w:rsid w:val="00191F8A"/>
    <w:rsid w:val="0022132C"/>
    <w:rsid w:val="002942FA"/>
    <w:rsid w:val="00354E1A"/>
    <w:rsid w:val="00384AEA"/>
    <w:rsid w:val="00411A0E"/>
    <w:rsid w:val="00673686"/>
    <w:rsid w:val="006847A6"/>
    <w:rsid w:val="007437C3"/>
    <w:rsid w:val="007C5DBB"/>
    <w:rsid w:val="007E5C20"/>
    <w:rsid w:val="007F5B9F"/>
    <w:rsid w:val="008F1503"/>
    <w:rsid w:val="00A01BBB"/>
    <w:rsid w:val="00A3510B"/>
    <w:rsid w:val="00D57162"/>
    <w:rsid w:val="00ED5AFD"/>
    <w:rsid w:val="00F25431"/>
    <w:rsid w:val="00F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D0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0"/>
    <w:rPr>
      <w:rFonts w:ascii="Verdana" w:hAnsi="Verdana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24214"/>
    <w:pPr>
      <w:ind w:left="280"/>
    </w:pPr>
  </w:style>
  <w:style w:type="paragraph" w:styleId="TOC5">
    <w:name w:val="toc 5"/>
    <w:basedOn w:val="Normal"/>
    <w:next w:val="Normal"/>
    <w:autoRedefine/>
    <w:semiHidden/>
    <w:rsid w:val="00D24214"/>
    <w:pPr>
      <w:ind w:left="1120"/>
    </w:pPr>
  </w:style>
  <w:style w:type="character" w:styleId="Hyperlink">
    <w:name w:val="Hyperlink"/>
    <w:basedOn w:val="DefaultParagraphFont"/>
    <w:rsid w:val="009038D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C20"/>
    <w:rPr>
      <w:rFonts w:ascii="Verdana" w:hAnsi="Verdana"/>
      <w:sz w:val="28"/>
      <w:szCs w:val="24"/>
      <w:lang w:val="en-GB" w:eastAsia="en-US"/>
    </w:rPr>
  </w:style>
  <w:style w:type="table" w:styleId="TableGrid">
    <w:name w:val="Table Grid"/>
    <w:basedOn w:val="TableNormal"/>
    <w:rsid w:val="007E5C20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20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0"/>
    <w:rPr>
      <w:rFonts w:ascii="Verdana" w:hAnsi="Verdana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24214"/>
    <w:pPr>
      <w:ind w:left="280"/>
    </w:pPr>
  </w:style>
  <w:style w:type="paragraph" w:styleId="TOC5">
    <w:name w:val="toc 5"/>
    <w:basedOn w:val="Normal"/>
    <w:next w:val="Normal"/>
    <w:autoRedefine/>
    <w:semiHidden/>
    <w:rsid w:val="00D24214"/>
    <w:pPr>
      <w:ind w:left="1120"/>
    </w:pPr>
  </w:style>
  <w:style w:type="character" w:styleId="Hyperlink">
    <w:name w:val="Hyperlink"/>
    <w:basedOn w:val="DefaultParagraphFont"/>
    <w:rsid w:val="009038D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C20"/>
    <w:rPr>
      <w:rFonts w:ascii="Verdana" w:hAnsi="Verdana"/>
      <w:sz w:val="28"/>
      <w:szCs w:val="24"/>
      <w:lang w:val="en-GB" w:eastAsia="en-US"/>
    </w:rPr>
  </w:style>
  <w:style w:type="table" w:styleId="TableGrid">
    <w:name w:val="Table Grid"/>
    <w:basedOn w:val="TableNormal"/>
    <w:rsid w:val="007E5C20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20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Jerelyn Orcutt</dc:creator>
  <cp:keywords/>
  <dc:description/>
  <cp:lastModifiedBy>Jerelyn Orcutt</cp:lastModifiedBy>
  <cp:revision>10</cp:revision>
  <cp:lastPrinted>2016-10-17T15:48:00Z</cp:lastPrinted>
  <dcterms:created xsi:type="dcterms:W3CDTF">2016-10-05T22:39:00Z</dcterms:created>
  <dcterms:modified xsi:type="dcterms:W3CDTF">2016-10-17T16:03:00Z</dcterms:modified>
</cp:coreProperties>
</file>